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[COMPANY NAME] Artificial Intelligence Acceptable Use Policy</w:t>
      </w:r>
    </w:p>
    <w:p>
      <w:r>
        <w:t>Version [VERSION NUMBER] | Effective [DATE] | Owner: [ROLE, for example Chief Information Officer] | Review: every [6 or 12] months</w:t>
      </w:r>
    </w:p>
    <w:p>
      <w:r>
        <w:t>Template provided free by Cocha Technology. Replace every bracketed field, delete notes in italics, and have counsel review before adoption. This template isn't legal advice.</w:t>
      </w:r>
    </w:p>
    <w:p>
      <w:pPr>
        <w:pStyle w:val="Heading1"/>
      </w:pPr>
      <w:r>
        <w:t>1. Purpose and scope</w:t>
      </w:r>
    </w:p>
    <w:p>
      <w:r>
        <w:t>This policy explains how people at [COMPANY NAME] may use artificial intelligence tools for work. The goal is to let you use AI to do better work while protecting confidential information, client and customer trust, and our legal and contractual obligations.</w:t>
      </w:r>
    </w:p>
    <w:p>
      <w:r>
        <w:t>It applies to employees, contractors, interns, and anyone else who uses [COMPANY NAME] systems or handles [COMPANY NAME] information. It covers any tool that generates text, images, code, audio, or summaries, or that makes predictions or recommendations, including chat assistants, writing and design tools, meeting notetakers, browser extensions, and AI features built into other software. It applies on company devices and on personal devices used for work.</w:t>
      </w:r>
    </w:p>
    <w:p>
      <w:pPr>
        <w:pStyle w:val="Heading1"/>
      </w:pPr>
      <w:r>
        <w:t>2. Approved tools</w:t>
      </w:r>
    </w:p>
    <w:p>
      <w:r>
        <w:t>Only the tools in this list are approved for work use. The list is maintained by [OWNER] and posted at [LOCATION].</w:t>
      </w:r>
    </w:p>
    <w:tbl>
      <w:tblPr>
        <w:tblStyle w:val="TableGrid"/>
        <w:tblW w:type="auto" w:w="0"/>
        <w:tblLayout w:type="fixed"/>
        <w:tblLook w:firstColumn="1" w:firstRow="1" w:lastColumn="0" w:lastRow="0" w:noHBand="0" w:noVBand="1" w:val="04A0"/>
      </w:tblPr>
      <w:tblGrid>
        <w:gridCol w:w="2045"/>
        <w:gridCol w:w="2045"/>
        <w:gridCol w:w="2045"/>
        <w:gridCol w:w="2045"/>
        <w:gridCol w:w="2045"/>
      </w:tblGrid>
      <w:tr>
        <w:trPr>
          <w:tblHeader/>
          <w:cantSplit/>
        </w:trPr>
        <w:tc>
          <w:tcPr>
            <w:tcW w:type="dxa" w:w="2304"/>
            <w:shd w:fill="E6ECEF"/>
            <w:tcMar>
              <w:top w:w="100" w:type="dxa"/>
              <w:bottom w:w="100" w:type="dxa"/>
              <w:left w:w="100" w:type="dxa"/>
              <w:right w:w="100" w:type="dxa"/>
            </w:tcMar>
          </w:tcPr>
          <w:p>
            <w:pPr>
              <w:spacing w:after="60"/>
            </w:pPr>
            <w:r>
              <w:rPr>
                <w:b/>
                <w:sz w:val="20"/>
              </w:rPr>
              <w:t>Tool</w:t>
            </w:r>
          </w:p>
        </w:tc>
        <w:tc>
          <w:tcPr>
            <w:tcW w:type="dxa" w:w="2160"/>
            <w:shd w:fill="E6ECEF"/>
            <w:tcMar>
              <w:top w:w="100" w:type="dxa"/>
              <w:bottom w:w="100" w:type="dxa"/>
              <w:left w:w="100" w:type="dxa"/>
              <w:right w:w="100" w:type="dxa"/>
            </w:tcMar>
          </w:tcPr>
          <w:p>
            <w:pPr>
              <w:spacing w:after="60"/>
            </w:pPr>
            <w:r>
              <w:rPr>
                <w:b/>
                <w:sz w:val="20"/>
              </w:rPr>
              <w:t>Approved for</w:t>
            </w:r>
          </w:p>
        </w:tc>
        <w:tc>
          <w:tcPr>
            <w:tcW w:type="dxa" w:w="2376"/>
            <w:shd w:fill="E6ECEF"/>
            <w:tcMar>
              <w:top w:w="100" w:type="dxa"/>
              <w:bottom w:w="100" w:type="dxa"/>
              <w:left w:w="100" w:type="dxa"/>
              <w:right w:w="100" w:type="dxa"/>
            </w:tcMar>
          </w:tcPr>
          <w:p>
            <w:pPr>
              <w:spacing w:after="60"/>
            </w:pPr>
            <w:r>
              <w:rPr>
                <w:b/>
                <w:sz w:val="20"/>
              </w:rPr>
              <w:t>Data allowed</w:t>
            </w:r>
          </w:p>
        </w:tc>
        <w:tc>
          <w:tcPr>
            <w:tcW w:type="dxa" w:w="2016"/>
            <w:shd w:fill="E6ECEF"/>
            <w:tcMar>
              <w:top w:w="100" w:type="dxa"/>
              <w:bottom w:w="100" w:type="dxa"/>
              <w:left w:w="100" w:type="dxa"/>
              <w:right w:w="100" w:type="dxa"/>
            </w:tcMar>
          </w:tcPr>
          <w:p>
            <w:pPr>
              <w:spacing w:after="60"/>
            </w:pPr>
            <w:r>
              <w:rPr>
                <w:b/>
                <w:sz w:val="20"/>
              </w:rPr>
              <w:t>Approved by</w:t>
            </w:r>
          </w:p>
        </w:tc>
        <w:tc>
          <w:tcPr>
            <w:tcW w:type="dxa" w:w="1368"/>
            <w:shd w:fill="E6ECEF"/>
            <w:tcMar>
              <w:top w:w="100" w:type="dxa"/>
              <w:bottom w:w="100" w:type="dxa"/>
              <w:left w:w="100" w:type="dxa"/>
              <w:right w:w="100" w:type="dxa"/>
            </w:tcMar>
          </w:tcPr>
          <w:p>
            <w:pPr>
              <w:spacing w:after="60"/>
            </w:pPr>
            <w:r>
              <w:rPr>
                <w:b/>
                <w:sz w:val="20"/>
              </w:rPr>
              <w:t>Date</w:t>
            </w:r>
          </w:p>
        </w:tc>
      </w:tr>
      <w:tr>
        <w:trPr>
          <w:cantSplit/>
        </w:trPr>
        <w:tc>
          <w:tcPr>
            <w:tcW w:type="dxa" w:w="2304"/>
            <w:tcMar>
              <w:top w:w="100" w:type="dxa"/>
              <w:bottom w:w="100" w:type="dxa"/>
              <w:left w:w="100" w:type="dxa"/>
              <w:right w:w="100" w:type="dxa"/>
            </w:tcMar>
          </w:tcPr>
          <w:p>
            <w:pPr>
              <w:spacing w:after="60"/>
            </w:pPr>
            <w:r>
              <w:rPr>
                <w:sz w:val="20"/>
              </w:rPr>
              <w:t>[TOOL NAME AND TIER]</w:t>
            </w:r>
          </w:p>
        </w:tc>
        <w:tc>
          <w:tcPr>
            <w:tcW w:type="dxa" w:w="2160"/>
            <w:tcMar>
              <w:top w:w="100" w:type="dxa"/>
              <w:bottom w:w="100" w:type="dxa"/>
              <w:left w:w="100" w:type="dxa"/>
              <w:right w:w="100" w:type="dxa"/>
            </w:tcMar>
          </w:tcPr>
          <w:p>
            <w:pPr>
              <w:spacing w:after="60"/>
            </w:pPr>
            <w:r>
              <w:rPr>
                <w:sz w:val="20"/>
              </w:rPr>
              <w:t>[USE CASES]</w:t>
            </w:r>
          </w:p>
        </w:tc>
        <w:tc>
          <w:tcPr>
            <w:tcW w:type="dxa" w:w="2376"/>
            <w:tcMar>
              <w:top w:w="100" w:type="dxa"/>
              <w:bottom w:w="100" w:type="dxa"/>
              <w:left w:w="100" w:type="dxa"/>
              <w:right w:w="100" w:type="dxa"/>
            </w:tcMar>
          </w:tcPr>
          <w:p>
            <w:pPr>
              <w:spacing w:after="60"/>
            </w:pPr>
            <w:r>
              <w:rPr>
                <w:sz w:val="20"/>
              </w:rPr>
              <w:t>[DATA CLASSES]</w:t>
            </w:r>
          </w:p>
        </w:tc>
        <w:tc>
          <w:tcPr>
            <w:tcW w:type="dxa" w:w="2016"/>
            <w:tcMar>
              <w:top w:w="100" w:type="dxa"/>
              <w:bottom w:w="100" w:type="dxa"/>
              <w:left w:w="100" w:type="dxa"/>
              <w:right w:w="100" w:type="dxa"/>
            </w:tcMar>
          </w:tcPr>
          <w:p>
            <w:pPr>
              <w:spacing w:after="60"/>
            </w:pPr>
            <w:r>
              <w:rPr>
                <w:sz w:val="20"/>
              </w:rPr>
              <w:t>[NAME]</w:t>
            </w:r>
          </w:p>
        </w:tc>
        <w:tc>
          <w:tcPr>
            <w:tcW w:type="dxa" w:w="1368"/>
            <w:tcMar>
              <w:top w:w="100" w:type="dxa"/>
              <w:bottom w:w="100" w:type="dxa"/>
              <w:left w:w="100" w:type="dxa"/>
              <w:right w:w="100" w:type="dxa"/>
            </w:tcMar>
          </w:tcPr>
          <w:p>
            <w:pPr>
              <w:spacing w:after="60"/>
            </w:pPr>
            <w:r>
              <w:rPr>
                <w:sz w:val="20"/>
              </w:rPr>
              <w:t>[DATE]</w:t>
            </w:r>
          </w:p>
        </w:tc>
      </w:tr>
      <w:tr>
        <w:trPr>
          <w:cantSplit/>
        </w:trPr>
        <w:tc>
          <w:tcPr>
            <w:tcW w:type="dxa" w:w="2304"/>
            <w:tcMar>
              <w:top w:w="100" w:type="dxa"/>
              <w:bottom w:w="100" w:type="dxa"/>
              <w:left w:w="100" w:type="dxa"/>
              <w:right w:w="100" w:type="dxa"/>
            </w:tcMar>
          </w:tcPr>
          <w:p>
            <w:pPr>
              <w:spacing w:after="60"/>
            </w:pPr>
            <w:r>
              <w:rPr>
                <w:sz w:val="20"/>
              </w:rPr>
              <w:t>[TOOL NAME AND TIER]</w:t>
            </w:r>
          </w:p>
        </w:tc>
        <w:tc>
          <w:tcPr>
            <w:tcW w:type="dxa" w:w="2160"/>
            <w:tcMar>
              <w:top w:w="100" w:type="dxa"/>
              <w:bottom w:w="100" w:type="dxa"/>
              <w:left w:w="100" w:type="dxa"/>
              <w:right w:w="100" w:type="dxa"/>
            </w:tcMar>
          </w:tcPr>
          <w:p>
            <w:pPr>
              <w:spacing w:after="60"/>
            </w:pPr>
            <w:r>
              <w:rPr>
                <w:sz w:val="20"/>
              </w:rPr>
              <w:t>[USE CASES]</w:t>
            </w:r>
          </w:p>
        </w:tc>
        <w:tc>
          <w:tcPr>
            <w:tcW w:type="dxa" w:w="2376"/>
            <w:tcMar>
              <w:top w:w="100" w:type="dxa"/>
              <w:bottom w:w="100" w:type="dxa"/>
              <w:left w:w="100" w:type="dxa"/>
              <w:right w:w="100" w:type="dxa"/>
            </w:tcMar>
          </w:tcPr>
          <w:p>
            <w:pPr>
              <w:spacing w:after="60"/>
            </w:pPr>
            <w:r>
              <w:rPr>
                <w:sz w:val="20"/>
              </w:rPr>
              <w:t>[DATA CLASSES]</w:t>
            </w:r>
          </w:p>
        </w:tc>
        <w:tc>
          <w:tcPr>
            <w:tcW w:type="dxa" w:w="2016"/>
            <w:tcMar>
              <w:top w:w="100" w:type="dxa"/>
              <w:bottom w:w="100" w:type="dxa"/>
              <w:left w:w="100" w:type="dxa"/>
              <w:right w:w="100" w:type="dxa"/>
            </w:tcMar>
          </w:tcPr>
          <w:p>
            <w:pPr>
              <w:spacing w:after="60"/>
            </w:pPr>
            <w:r>
              <w:rPr>
                <w:sz w:val="20"/>
              </w:rPr>
              <w:t>[NAME]</w:t>
            </w:r>
          </w:p>
        </w:tc>
        <w:tc>
          <w:tcPr>
            <w:tcW w:type="dxa" w:w="1368"/>
            <w:tcMar>
              <w:top w:w="100" w:type="dxa"/>
              <w:bottom w:w="100" w:type="dxa"/>
              <w:left w:w="100" w:type="dxa"/>
              <w:right w:w="100" w:type="dxa"/>
            </w:tcMar>
          </w:tcPr>
          <w:p>
            <w:pPr>
              <w:spacing w:after="60"/>
            </w:pPr>
            <w:r>
              <w:rPr>
                <w:sz w:val="20"/>
              </w:rPr>
              <w:t>[DATE]</w:t>
            </w:r>
          </w:p>
        </w:tc>
      </w:tr>
    </w:tbl>
    <w:p/>
    <w:p>
      <w:r>
        <w:rPr>
          <w:i/>
        </w:rPr>
        <w:t>Note: list the specific product and tier, such as a business or enterprise plan, not just the vendor. Consumer and business versions of the same tool often have different data terms.</w:t>
      </w:r>
    </w:p>
    <w:p>
      <w:r>
        <w:t>If a tool isn't on this list, don't use it with [COMPANY NAME] information. To request a new tool, contact [CONTACT] with the tool name, what you want to use it for, and what data it would see. We aim to respond within [NUMBER] business days.</w:t>
      </w:r>
    </w:p>
    <w:p>
      <w:pPr>
        <w:pStyle w:val="Heading1"/>
      </w:pPr>
      <w:r>
        <w:t>3. Data classes and what goes where</w:t>
      </w:r>
    </w:p>
    <w:p>
      <w:r>
        <w:t>Use the table below. If you aren't sure which class a document belongs to, treat it as the more restricted class and ask [CONTACT].</w:t>
      </w:r>
    </w:p>
    <w:tbl>
      <w:tblPr>
        <w:tblStyle w:val="TableGrid"/>
        <w:tblW w:type="auto" w:w="0"/>
        <w:tblLayout w:type="fixed"/>
        <w:tblLook w:firstColumn="1" w:firstRow="1" w:lastColumn="0" w:lastRow="0" w:noHBand="0" w:noVBand="1" w:val="04A0"/>
      </w:tblPr>
      <w:tblGrid>
        <w:gridCol w:w="2556"/>
        <w:gridCol w:w="2556"/>
        <w:gridCol w:w="2556"/>
        <w:gridCol w:w="2556"/>
      </w:tblGrid>
      <w:tr>
        <w:trPr>
          <w:tblHeader/>
          <w:cantSplit/>
        </w:trPr>
        <w:tc>
          <w:tcPr>
            <w:tcW w:type="dxa" w:w="1440"/>
            <w:shd w:fill="E6ECEF"/>
            <w:tcMar>
              <w:top w:w="100" w:type="dxa"/>
              <w:bottom w:w="100" w:type="dxa"/>
              <w:left w:w="100" w:type="dxa"/>
              <w:right w:w="100" w:type="dxa"/>
            </w:tcMar>
          </w:tcPr>
          <w:p>
            <w:pPr>
              <w:spacing w:after="60"/>
            </w:pPr>
            <w:r>
              <w:rPr>
                <w:b/>
                <w:sz w:val="20"/>
              </w:rPr>
              <w:t>Data class</w:t>
            </w:r>
          </w:p>
        </w:tc>
        <w:tc>
          <w:tcPr>
            <w:tcW w:type="dxa" w:w="3456"/>
            <w:shd w:fill="E6ECEF"/>
            <w:tcMar>
              <w:top w:w="100" w:type="dxa"/>
              <w:bottom w:w="100" w:type="dxa"/>
              <w:left w:w="100" w:type="dxa"/>
              <w:right w:w="100" w:type="dxa"/>
            </w:tcMar>
          </w:tcPr>
          <w:p>
            <w:pPr>
              <w:spacing w:after="60"/>
            </w:pPr>
            <w:r>
              <w:rPr>
                <w:b/>
                <w:sz w:val="20"/>
              </w:rPr>
              <w:t>Examples</w:t>
            </w:r>
          </w:p>
        </w:tc>
        <w:tc>
          <w:tcPr>
            <w:tcW w:type="dxa" w:w="2952"/>
            <w:shd w:fill="E6ECEF"/>
            <w:tcMar>
              <w:top w:w="100" w:type="dxa"/>
              <w:bottom w:w="100" w:type="dxa"/>
              <w:left w:w="100" w:type="dxa"/>
              <w:right w:w="100" w:type="dxa"/>
            </w:tcMar>
          </w:tcPr>
          <w:p>
            <w:pPr>
              <w:spacing w:after="60"/>
            </w:pPr>
            <w:r>
              <w:rPr>
                <w:b/>
                <w:sz w:val="20"/>
              </w:rPr>
              <w:t>Approved AI tools</w:t>
            </w:r>
          </w:p>
        </w:tc>
        <w:tc>
          <w:tcPr>
            <w:tcW w:type="dxa" w:w="2376"/>
            <w:shd w:fill="E6ECEF"/>
            <w:tcMar>
              <w:top w:w="100" w:type="dxa"/>
              <w:bottom w:w="100" w:type="dxa"/>
              <w:left w:w="100" w:type="dxa"/>
              <w:right w:w="100" w:type="dxa"/>
            </w:tcMar>
          </w:tcPr>
          <w:p>
            <w:pPr>
              <w:spacing w:after="60"/>
            </w:pPr>
            <w:r>
              <w:rPr>
                <w:b/>
                <w:sz w:val="20"/>
              </w:rPr>
              <w:t>Other AI tools</w:t>
            </w:r>
          </w:p>
        </w:tc>
      </w:tr>
      <w:tr>
        <w:trPr>
          <w:cantSplit/>
        </w:trPr>
        <w:tc>
          <w:tcPr>
            <w:tcW w:type="dxa" w:w="1440"/>
            <w:tcMar>
              <w:top w:w="100" w:type="dxa"/>
              <w:bottom w:w="100" w:type="dxa"/>
              <w:left w:w="100" w:type="dxa"/>
              <w:right w:w="100" w:type="dxa"/>
            </w:tcMar>
          </w:tcPr>
          <w:p>
            <w:pPr>
              <w:spacing w:after="60"/>
            </w:pPr>
            <w:r>
              <w:rPr>
                <w:sz w:val="20"/>
              </w:rPr>
              <w:t>Public</w:t>
            </w:r>
          </w:p>
        </w:tc>
        <w:tc>
          <w:tcPr>
            <w:tcW w:type="dxa" w:w="3456"/>
            <w:tcMar>
              <w:top w:w="100" w:type="dxa"/>
              <w:bottom w:w="100" w:type="dxa"/>
              <w:left w:w="100" w:type="dxa"/>
              <w:right w:w="100" w:type="dxa"/>
            </w:tcMar>
          </w:tcPr>
          <w:p>
            <w:pPr>
              <w:spacing w:after="60"/>
            </w:pPr>
            <w:r>
              <w:rPr>
                <w:sz w:val="20"/>
              </w:rPr>
              <w:t>Published marketing, public filings</w:t>
            </w:r>
          </w:p>
        </w:tc>
        <w:tc>
          <w:tcPr>
            <w:tcW w:type="dxa" w:w="2952"/>
            <w:tcMar>
              <w:top w:w="100" w:type="dxa"/>
              <w:bottom w:w="100" w:type="dxa"/>
              <w:left w:w="100" w:type="dxa"/>
              <w:right w:w="100" w:type="dxa"/>
            </w:tcMar>
          </w:tcPr>
          <w:p>
            <w:pPr>
              <w:spacing w:after="60"/>
            </w:pPr>
            <w:r>
              <w:rPr>
                <w:sz w:val="20"/>
              </w:rPr>
              <w:t>Allowed</w:t>
            </w:r>
          </w:p>
        </w:tc>
        <w:tc>
          <w:tcPr>
            <w:tcW w:type="dxa" w:w="2376"/>
            <w:tcMar>
              <w:top w:w="100" w:type="dxa"/>
              <w:bottom w:w="100" w:type="dxa"/>
              <w:left w:w="100" w:type="dxa"/>
              <w:right w:w="100" w:type="dxa"/>
            </w:tcMar>
          </w:tcPr>
          <w:p>
            <w:pPr>
              <w:spacing w:after="60"/>
            </w:pPr>
            <w:r>
              <w:rPr>
                <w:sz w:val="20"/>
              </w:rPr>
              <w:t>Allowed with human review</w:t>
            </w:r>
          </w:p>
        </w:tc>
      </w:tr>
      <w:tr>
        <w:trPr>
          <w:cantSplit/>
        </w:trPr>
        <w:tc>
          <w:tcPr>
            <w:tcW w:type="dxa" w:w="1440"/>
            <w:tcMar>
              <w:top w:w="100" w:type="dxa"/>
              <w:bottom w:w="100" w:type="dxa"/>
              <w:left w:w="100" w:type="dxa"/>
              <w:right w:w="100" w:type="dxa"/>
            </w:tcMar>
          </w:tcPr>
          <w:p>
            <w:pPr>
              <w:spacing w:after="60"/>
            </w:pPr>
            <w:r>
              <w:rPr>
                <w:sz w:val="20"/>
              </w:rPr>
              <w:t>Internal</w:t>
            </w:r>
          </w:p>
        </w:tc>
        <w:tc>
          <w:tcPr>
            <w:tcW w:type="dxa" w:w="3456"/>
            <w:tcMar>
              <w:top w:w="100" w:type="dxa"/>
              <w:bottom w:w="100" w:type="dxa"/>
              <w:left w:w="100" w:type="dxa"/>
              <w:right w:w="100" w:type="dxa"/>
            </w:tcMar>
          </w:tcPr>
          <w:p>
            <w:pPr>
              <w:spacing w:after="60"/>
            </w:pPr>
            <w:r>
              <w:rPr>
                <w:sz w:val="20"/>
              </w:rPr>
              <w:t>Internal procedures, non-sensitive drafts</w:t>
            </w:r>
          </w:p>
        </w:tc>
        <w:tc>
          <w:tcPr>
            <w:tcW w:type="dxa" w:w="2952"/>
            <w:tcMar>
              <w:top w:w="100" w:type="dxa"/>
              <w:bottom w:w="100" w:type="dxa"/>
              <w:left w:w="100" w:type="dxa"/>
              <w:right w:w="100" w:type="dxa"/>
            </w:tcMar>
          </w:tcPr>
          <w:p>
            <w:pPr>
              <w:spacing w:after="60"/>
            </w:pPr>
            <w:r>
              <w:rPr>
                <w:sz w:val="20"/>
              </w:rPr>
              <w:t>Allowed</w:t>
            </w:r>
          </w:p>
        </w:tc>
        <w:tc>
          <w:tcPr>
            <w:tcW w:type="dxa" w:w="2376"/>
            <w:tcMar>
              <w:top w:w="100" w:type="dxa"/>
              <w:bottom w:w="100" w:type="dxa"/>
              <w:left w:w="100" w:type="dxa"/>
              <w:right w:w="100" w:type="dxa"/>
            </w:tcMar>
          </w:tcPr>
          <w:p>
            <w:pPr>
              <w:spacing w:after="60"/>
            </w:pPr>
            <w:r>
              <w:rPr>
                <w:sz w:val="20"/>
              </w:rPr>
              <w:t>Not allowed</w:t>
            </w:r>
          </w:p>
        </w:tc>
      </w:tr>
      <w:tr>
        <w:trPr>
          <w:cantSplit/>
        </w:trPr>
        <w:tc>
          <w:tcPr>
            <w:tcW w:type="dxa" w:w="1440"/>
            <w:tcMar>
              <w:top w:w="100" w:type="dxa"/>
              <w:bottom w:w="100" w:type="dxa"/>
              <w:left w:w="100" w:type="dxa"/>
              <w:right w:w="100" w:type="dxa"/>
            </w:tcMar>
          </w:tcPr>
          <w:p>
            <w:pPr>
              <w:spacing w:after="60"/>
            </w:pPr>
            <w:r>
              <w:rPr>
                <w:sz w:val="20"/>
              </w:rPr>
              <w:t>Confidential</w:t>
            </w:r>
          </w:p>
        </w:tc>
        <w:tc>
          <w:tcPr>
            <w:tcW w:type="dxa" w:w="3456"/>
            <w:tcMar>
              <w:top w:w="100" w:type="dxa"/>
              <w:bottom w:w="100" w:type="dxa"/>
              <w:left w:w="100" w:type="dxa"/>
              <w:right w:w="100" w:type="dxa"/>
            </w:tcMar>
          </w:tcPr>
          <w:p>
            <w:pPr>
              <w:spacing w:after="60"/>
            </w:pPr>
            <w:r>
              <w:rPr>
                <w:sz w:val="20"/>
              </w:rPr>
              <w:t>Client or customer information, contracts, financials, personnel records, source code, deal materials</w:t>
            </w:r>
          </w:p>
        </w:tc>
        <w:tc>
          <w:tcPr>
            <w:tcW w:type="dxa" w:w="2952"/>
            <w:tcMar>
              <w:top w:w="100" w:type="dxa"/>
              <w:bottom w:w="100" w:type="dxa"/>
              <w:left w:w="100" w:type="dxa"/>
              <w:right w:w="100" w:type="dxa"/>
            </w:tcMar>
          </w:tcPr>
          <w:p>
            <w:pPr>
              <w:spacing w:after="60"/>
            </w:pPr>
            <w:r>
              <w:rPr>
                <w:sz w:val="20"/>
              </w:rPr>
              <w:t>Allowed only in tools approved for this class in Section 2</w:t>
            </w:r>
          </w:p>
        </w:tc>
        <w:tc>
          <w:tcPr>
            <w:tcW w:type="dxa" w:w="2376"/>
            <w:tcMar>
              <w:top w:w="100" w:type="dxa"/>
              <w:bottom w:w="100" w:type="dxa"/>
              <w:left w:w="100" w:type="dxa"/>
              <w:right w:w="100" w:type="dxa"/>
            </w:tcMar>
          </w:tcPr>
          <w:p>
            <w:pPr>
              <w:spacing w:after="60"/>
            </w:pPr>
            <w:r>
              <w:rPr>
                <w:sz w:val="20"/>
              </w:rPr>
              <w:t>Not allowed</w:t>
            </w:r>
          </w:p>
        </w:tc>
      </w:tr>
      <w:tr>
        <w:trPr>
          <w:cantSplit/>
        </w:trPr>
        <w:tc>
          <w:tcPr>
            <w:tcW w:type="dxa" w:w="1440"/>
            <w:tcMar>
              <w:top w:w="100" w:type="dxa"/>
              <w:bottom w:w="100" w:type="dxa"/>
              <w:left w:w="100" w:type="dxa"/>
              <w:right w:w="100" w:type="dxa"/>
            </w:tcMar>
          </w:tcPr>
          <w:p>
            <w:pPr>
              <w:spacing w:after="60"/>
            </w:pPr>
            <w:r>
              <w:rPr>
                <w:sz w:val="20"/>
              </w:rPr>
              <w:t>Restricted</w:t>
            </w:r>
          </w:p>
        </w:tc>
        <w:tc>
          <w:tcPr>
            <w:tcW w:type="dxa" w:w="3456"/>
            <w:tcMar>
              <w:top w:w="100" w:type="dxa"/>
              <w:bottom w:w="100" w:type="dxa"/>
              <w:left w:w="100" w:type="dxa"/>
              <w:right w:w="100" w:type="dxa"/>
            </w:tcMar>
          </w:tcPr>
          <w:p>
            <w:pPr>
              <w:spacing w:after="60"/>
            </w:pPr>
            <w:r>
              <w:rPr>
                <w:sz w:val="20"/>
              </w:rPr>
              <w:t>[Regulated or highly sensitive data, for example health information, payment data, privileged material, export-controlled data]</w:t>
            </w:r>
          </w:p>
        </w:tc>
        <w:tc>
          <w:tcPr>
            <w:tcW w:type="dxa" w:w="2952"/>
            <w:tcMar>
              <w:top w:w="100" w:type="dxa"/>
              <w:bottom w:w="100" w:type="dxa"/>
              <w:left w:w="100" w:type="dxa"/>
              <w:right w:w="100" w:type="dxa"/>
            </w:tcMar>
          </w:tcPr>
          <w:p>
            <w:pPr>
              <w:spacing w:after="60"/>
            </w:pPr>
            <w:r>
              <w:rPr>
                <w:sz w:val="20"/>
              </w:rPr>
              <w:t>Allowed only if Section 2 names the tool for this class</w:t>
            </w:r>
          </w:p>
        </w:tc>
        <w:tc>
          <w:tcPr>
            <w:tcW w:type="dxa" w:w="2376"/>
            <w:tcMar>
              <w:top w:w="100" w:type="dxa"/>
              <w:bottom w:w="100" w:type="dxa"/>
              <w:left w:w="100" w:type="dxa"/>
              <w:right w:w="100" w:type="dxa"/>
            </w:tcMar>
          </w:tcPr>
          <w:p>
            <w:pPr>
              <w:spacing w:after="60"/>
            </w:pPr>
            <w:r>
              <w:rPr>
                <w:sz w:val="20"/>
              </w:rPr>
              <w:t>Not allowed</w:t>
            </w:r>
          </w:p>
        </w:tc>
      </w:tr>
    </w:tbl>
    <w:p/>
    <w:p>
      <w:r>
        <w:rPr>
          <w:i/>
        </w:rPr>
        <w:t>Note: if your organization already uses sensitivity labels, replace these class names with your label names so people see one system, not two.</w:t>
      </w:r>
    </w:p>
    <w:p>
      <w:pPr>
        <w:pStyle w:val="Heading1"/>
      </w:pPr>
      <w:r>
        <w:t>4. Prohibited uses</w:t>
      </w:r>
    </w:p>
    <w:p>
      <w:r>
        <w:t>Regardless of tool, don't use AI to:</w:t>
      </w:r>
    </w:p>
    <w:p>
      <w:pPr>
        <w:pStyle w:val="ListBullet"/>
      </w:pPr>
      <w:r>
        <w:t>Enter confidential or restricted information into any tool that isn't approved for that data class.</w:t>
      </w:r>
    </w:p>
    <w:p>
      <w:pPr>
        <w:pStyle w:val="ListBullet"/>
      </w:pPr>
      <w:r>
        <w:t>Make final decisions about hiring, firing, discipline, credit, pricing, or eligibility without a person reviewing and owning the decision.</w:t>
      </w:r>
    </w:p>
    <w:p>
      <w:pPr>
        <w:pStyle w:val="ListBullet"/>
      </w:pPr>
      <w:r>
        <w:t>Create content meant to deceive people, including impersonation, fake reviews, or fabricated records.</w:t>
      </w:r>
    </w:p>
    <w:p>
      <w:pPr>
        <w:pStyle w:val="ListBullet"/>
      </w:pPr>
      <w:r>
        <w:t>Generate or alter evidence, official filings, or statements to regulators without review by [ROLE].</w:t>
      </w:r>
    </w:p>
    <w:p>
      <w:pPr>
        <w:pStyle w:val="ListBullet"/>
      </w:pPr>
      <w:r>
        <w:t>Bypass security controls, probe other systems, or write malicious code.</w:t>
      </w:r>
    </w:p>
    <w:p>
      <w:pPr>
        <w:pStyle w:val="ListBullet"/>
      </w:pPr>
      <w:r>
        <w:t>Present AI output as verified fact, or cite sources, cases, or figures you haven't confirmed exist.</w:t>
      </w:r>
    </w:p>
    <w:p>
      <w:pPr>
        <w:pStyle w:val="ListBullet"/>
      </w:pPr>
      <w:r>
        <w:t>Do anything that would violate law, contract, or another company policy.</w:t>
      </w:r>
    </w:p>
    <w:p>
      <w:pPr>
        <w:pStyle w:val="Heading1"/>
      </w:pPr>
      <w:r>
        <w:t>5. Personal accounts and browser extensions</w:t>
      </w:r>
    </w:p>
    <w:p>
      <w:r>
        <w:t>Don't use personal AI accounts for work. That includes free or paid accounts you opened yourself, even if the tool is the same product we've approved under a company account. Company accounts carry company terms, administration, and retention. Personal accounts don't.</w:t>
      </w:r>
    </w:p>
    <w:p>
      <w:r>
        <w:t>Don't install AI browser extensions, add-ins, or plug-ins on company devices unless they appear in Section 2. Extensions can read what's on your screen, including email, documents, and client systems.</w:t>
      </w:r>
    </w:p>
    <w:p>
      <w:pPr>
        <w:pStyle w:val="Heading1"/>
      </w:pPr>
      <w:r>
        <w:t>6. AI notetakers and recording tools</w:t>
      </w:r>
    </w:p>
    <w:p>
      <w:r>
        <w:t>Don't add an AI notetaker, transcription bot, or recording tool to a meeting unless it appears in Section 2 and everyone attending knows and has agreed. For external meetings, tell attendees at the start. Don't allow outside bots to join meetings you host. If a bot you didn't invite joins, remove it and tell [CONTACT].</w:t>
      </w:r>
    </w:p>
    <w:p>
      <w:r>
        <w:t>Recordings and transcripts are company records. Store them only in approved locations and follow the retention schedule in [POLICY NAME].</w:t>
      </w:r>
    </w:p>
    <w:p>
      <w:pPr>
        <w:pStyle w:val="Heading1"/>
      </w:pPr>
      <w:r>
        <w:t>7. Human review of AI output</w:t>
      </w:r>
    </w:p>
    <w:p>
      <w:r>
        <w:t>You're responsible for anything you create, send, or file, whether or not AI helped. Before relying on AI output:</w:t>
      </w:r>
    </w:p>
    <w:p>
      <w:pPr>
        <w:pStyle w:val="ListBullet"/>
      </w:pPr>
      <w:r>
        <w:t>Read all of it, not just the start.</w:t>
      </w:r>
    </w:p>
    <w:p>
      <w:pPr>
        <w:pStyle w:val="ListBullet"/>
      </w:pPr>
      <w:r>
        <w:t>Check facts, numbers, names, quotations, and citations against original sources.</w:t>
      </w:r>
    </w:p>
    <w:p>
      <w:pPr>
        <w:pStyle w:val="ListBullet"/>
      </w:pPr>
      <w:r>
        <w:t>Check for confidential details that shouldn't appear, and for bias or tone problems.</w:t>
      </w:r>
    </w:p>
    <w:p>
      <w:pPr>
        <w:pStyle w:val="ListBullet"/>
      </w:pPr>
      <w:r>
        <w:t>Keep a note of the tool and prompt when the output supports an important decision or a client deliverable.</w:t>
      </w:r>
    </w:p>
    <w:p>
      <w:r>
        <w:t>AI tools can produce fluent text that is wrong. Treat output as a draft from a new colleague you haven't worked with before.</w:t>
      </w:r>
    </w:p>
    <w:p>
      <w:pPr>
        <w:pStyle w:val="Heading1"/>
      </w:pPr>
      <w:r>
        <w:t>8. Client and customer disclosure</w:t>
      </w:r>
    </w:p>
    <w:p>
      <w:r>
        <w:t>Follow any contract, engagement letter, or outside guideline that limits or requires disclosure of AI use. Where we haven't promised anything, [COMPANY NAME] position is: [CHOOSE ONE: we tell clients when AI materially shapes a deliverable / we disclose on request / we disclose in our standard terms]. Ask [CONTACT] before using client information in any AI tool, even an approved one, if the client's contract is silent or unclear.</w:t>
      </w:r>
    </w:p>
    <w:p>
      <w:pPr>
        <w:pStyle w:val="Heading1"/>
      </w:pPr>
      <w:r>
        <w:t>9. Incident reporting</w:t>
      </w:r>
    </w:p>
    <w:p>
      <w:r>
        <w:t>Report right away to [CONTACT, with phone or email] if you:</w:t>
      </w:r>
    </w:p>
    <w:p>
      <w:pPr>
        <w:pStyle w:val="ListBullet"/>
      </w:pPr>
      <w:r>
        <w:t>Entered confidential or restricted information into a tool that isn't approved for it.</w:t>
      </w:r>
    </w:p>
    <w:p>
      <w:pPr>
        <w:pStyle w:val="ListBullet"/>
      </w:pPr>
      <w:r>
        <w:t>Notice an AI tool exposing, retaining, or sharing information it shouldn't.</w:t>
      </w:r>
    </w:p>
    <w:p>
      <w:pPr>
        <w:pStyle w:val="ListBullet"/>
      </w:pPr>
      <w:r>
        <w:t>Receive AI output that appears to contain someone else's confidential information.</w:t>
      </w:r>
    </w:p>
    <w:p>
      <w:pPr>
        <w:pStyle w:val="ListBullet"/>
      </w:pPr>
      <w:r>
        <w:t>Learn that a tool on the approved list changed its terms or had a security issue.</w:t>
      </w:r>
    </w:p>
    <w:p>
      <w:r>
        <w:t>Reports made promptly and in good faith aren't treated as misconduct. Delays make problems worse.</w:t>
      </w:r>
    </w:p>
    <w:p>
      <w:pPr>
        <w:pStyle w:val="Heading1"/>
      </w:pPr>
      <w:r>
        <w:t>10. Training</w:t>
      </w:r>
    </w:p>
    <w:p>
      <w:r>
        <w:t>Everyone covered by this policy completes AI use training within [NUMBER] days of starting and every [12] months after. Training covers this policy, the approved tools, the data class table, and how to verify AI output. [ROLE] tracks completion.</w:t>
      </w:r>
    </w:p>
    <w:p>
      <w:pPr>
        <w:pStyle w:val="Heading1"/>
      </w:pPr>
      <w:r>
        <w:t>11. Ownership and review</w:t>
      </w:r>
    </w:p>
    <w:p>
      <w:r>
        <w:t>[ROLE] owns this policy. It's reviewed every [6 or 12] months and whenever a major tool, law, contract requirement, or incident calls for a change. Exceptions require written approval from [ROLE]. Violations may result in disciplinary action up to and including termination, and contractors may lose access.</w:t>
      </w:r>
    </w:p>
    <w:p>
      <w:pPr>
        <w:pStyle w:val="Heading1"/>
      </w:pPr>
      <w:r>
        <w:t>12. Acknowledgment</w:t>
      </w:r>
    </w:p>
    <w:p>
      <w:r>
        <w:t>I've read and understand the [COMPANY NAME] Artificial Intelligence Acceptable Use Policy and agree to follow it.</w:t>
      </w:r>
    </w:p>
    <w:p>
      <w:r>
        <w:t>Name: ____________________  Signature: ____________________  Date: ____________</w:t>
      </w:r>
    </w:p>
    <w:p>
      <w:r>
        <w:br w:type="page"/>
      </w:r>
    </w:p>
    <w:p>
      <w:pPr>
        <w:pStyle w:val="Title"/>
      </w:pPr>
      <w:r>
        <w:t>Law firm addendum</w:t>
      </w:r>
    </w:p>
    <w:p>
      <w:r>
        <w:rPr>
          <w:i/>
        </w:rPr>
        <w:t>Use alongside the base policy. Counsel should review it against your jurisdiction's rules of professional conduct.</w:t>
      </w:r>
    </w:p>
    <w:p>
      <w:pPr>
        <w:pStyle w:val="Heading1"/>
      </w:pPr>
      <w:r>
        <w:t>A. Confidentiality and privilege</w:t>
      </w:r>
    </w:p>
    <w:p>
      <w:r>
        <w:t>Lawyers and staff may enter client information into an AI tool only if the tool is approved in Section 2 for client confidential or privileged material. Before approving a tool, [ROLE] confirms how the tool stores, retains, and uses inputs, who at the vendor can access them, and whether the vendor trains on them. Consumer tools aren't approved for client information.</w:t>
      </w:r>
    </w:p>
    <w:p>
      <w:pPr>
        <w:pStyle w:val="Heading1"/>
      </w:pPr>
      <w:r>
        <w:t>B. Competence and verification</w:t>
      </w:r>
    </w:p>
    <w:p>
      <w:r>
        <w:t>Lawyers must understand a tool's capabilities and limits well enough to use it responsibly. Every legal citation, quotation, and factual statement drawn from AI output must be checked against the original source before it goes into work product, a filing, or advice to a client. A lawyer remains responsible for the final product.</w:t>
      </w:r>
    </w:p>
    <w:p>
      <w:pPr>
        <w:pStyle w:val="Heading1"/>
      </w:pPr>
      <w:r>
        <w:t>C. Client consent and engagement letters</w:t>
      </w:r>
    </w:p>
    <w:p>
      <w:r>
        <w:t>[FIRM NAME] discloses AI use to clients as follows: [DESCRIBE]. Where client information will be entered into a generative AI tool, the responsible lawyer obtains informed client consent before doing so, unless the client has already agreed in writing. A general, boilerplate clause in an engagement letter isn't a substitute for an informed conversation about a specific use. Follow any outside counsel guidelines that restrict AI use.</w:t>
      </w:r>
    </w:p>
    <w:p>
      <w:pPr>
        <w:pStyle w:val="Heading1"/>
      </w:pPr>
      <w:r>
        <w:t>D. Ethical walls and matter access</w:t>
      </w:r>
    </w:p>
    <w:p>
      <w:r>
        <w:t>AI tools must respect ethical walls and matter restrictions. Don't connect an AI tool to a repository or workspace unless access to the matters it can reach matches the permissions of the person using it. [ROLE] confirms this when approving a tool and again when access settings change.</w:t>
      </w:r>
    </w:p>
    <w:p>
      <w:pPr>
        <w:pStyle w:val="Heading1"/>
      </w:pPr>
      <w:r>
        <w:t>E. Supervision</w:t>
      </w:r>
    </w:p>
    <w:p>
      <w:r>
        <w:t>Partners and supervising lawyers are responsible for making sure lawyers and staff under their supervision follow this policy. Supervisors review how AI was used on matters they oversee and document material uses on the matter file.</w:t>
      </w:r>
    </w:p>
    <w:p>
      <w:pPr>
        <w:pStyle w:val="Heading1"/>
      </w:pPr>
      <w:r>
        <w:t>F. Billing</w:t>
      </w:r>
    </w:p>
    <w:p>
      <w:r>
        <w:t>Time billed must reflect time actually spent. Don't bill clients for time spent learning an AI tool, and pass efficiency gains to clients as described in [FIRM NAME] billing policy. Pass through third party AI tool costs only as the engagement terms allow.</w:t>
      </w:r>
    </w:p>
    <w:p>
      <w:pPr>
        <w:pStyle w:val="Heading1"/>
      </w:pPr>
      <w:r>
        <w:t>G. Retention and eDiscovery</w:t>
      </w:r>
    </w:p>
    <w:p>
      <w:r>
        <w:t>Prompts, outputs, and meeting transcripts connected to a matter are part of the matter record where retention rules require it. Store them in approved systems, apply the matter retention schedule, and preserve them under any legal hold. Don't keep AI work product only in a personal account or in a tool's chat history.</w:t>
      </w:r>
    </w:p>
    <w:p>
      <w:pPr>
        <w:pStyle w:val="Heading1"/>
      </w:pPr>
      <w:r>
        <w:t>H. References</w:t>
      </w:r>
    </w:p>
    <w:p>
      <w:r>
        <w:t>ABA Formal Opinion 512, Generative Artificial Intelligence Tools (July 29, 2024). Texas Committee on Professional Ethics Opinion 705 (February 2025). Check your own jurisdiction's rules and any more recent guidance.</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Calibri" w:hAnsi="Calibr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 Template</dc:title>
  <dc:subject/>
  <dc:creator>Cocha Technology</dc:creator>
  <cp:keywords/>
  <dc:description>generated by python-docx</dc:description>
  <cp:lastModifiedBy/>
  <cp:revision>1</cp:revision>
  <dcterms:created xsi:type="dcterms:W3CDTF">2013-12-23T23:15:00Z</dcterms:created>
  <dcterms:modified xsi:type="dcterms:W3CDTF">2013-12-23T23:15:00Z</dcterms:modified>
  <cp:category/>
</cp:coreProperties>
</file>